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3E9" w:rsidRPr="00DB23E9" w:rsidRDefault="00DB23E9" w:rsidP="00DB23E9">
      <w:pPr>
        <w:numPr>
          <w:ilvl w:val="0"/>
          <w:numId w:val="1"/>
        </w:numPr>
        <w:spacing w:after="0" w:line="240" w:lineRule="auto"/>
        <w:ind w:right="720"/>
        <w:rPr>
          <w:rFonts w:ascii="Times New Roman" w:eastAsia="Times New Roman" w:hAnsi="Times New Roman" w:cs="Times New Roman"/>
          <w:color w:val="333333"/>
          <w:sz w:val="24"/>
          <w:szCs w:val="24"/>
        </w:rPr>
      </w:pPr>
      <w:r w:rsidRPr="00DB23E9">
        <w:rPr>
          <w:rFonts w:ascii="Times New Roman" w:eastAsia="Times New Roman" w:hAnsi="Times New Roman" w:cs="Times New Roman"/>
          <w:b/>
          <w:bCs/>
          <w:color w:val="333333"/>
          <w:sz w:val="24"/>
          <w:szCs w:val="24"/>
        </w:rPr>
        <w:t>Depreciation Expense</w:t>
      </w:r>
    </w:p>
    <w:p w:rsidR="00DB23E9" w:rsidRPr="00DB23E9" w:rsidRDefault="00DB23E9" w:rsidP="00DB23E9">
      <w:pPr>
        <w:spacing w:before="240" w:after="240" w:line="240" w:lineRule="auto"/>
        <w:ind w:left="720" w:right="720"/>
        <w:rPr>
          <w:rFonts w:ascii="Times New Roman" w:eastAsia="Times New Roman" w:hAnsi="Times New Roman" w:cs="Times New Roman"/>
          <w:color w:val="333333"/>
          <w:sz w:val="24"/>
          <w:szCs w:val="24"/>
        </w:rPr>
      </w:pPr>
      <w:r w:rsidRPr="00DB23E9">
        <w:rPr>
          <w:rFonts w:ascii="Times New Roman" w:eastAsia="Times New Roman" w:hAnsi="Times New Roman" w:cs="Times New Roman"/>
          <w:color w:val="333333"/>
          <w:sz w:val="24"/>
          <w:szCs w:val="24"/>
        </w:rPr>
        <w:t>Valley Corporation purchased a new piece of equipment on June 1, 2015. The cost of this machine was $325,000. The company estimated that the machine would have a salvage value of $25,000 at the end of its service life. Its life is estimated at four years, and its working hours are estimated at 50,000 hours. The year end is December 31.</w:t>
      </w:r>
    </w:p>
    <w:p w:rsidR="00DB23E9" w:rsidRPr="00DB23E9" w:rsidRDefault="00DB23E9" w:rsidP="00DB23E9">
      <w:pPr>
        <w:spacing w:before="240" w:after="240" w:line="240" w:lineRule="auto"/>
        <w:ind w:left="720" w:right="720"/>
        <w:rPr>
          <w:rFonts w:ascii="Times New Roman" w:eastAsia="Times New Roman" w:hAnsi="Times New Roman" w:cs="Times New Roman"/>
          <w:color w:val="333333"/>
          <w:sz w:val="24"/>
          <w:szCs w:val="24"/>
        </w:rPr>
      </w:pPr>
      <w:r w:rsidRPr="00DB23E9">
        <w:rPr>
          <w:rFonts w:ascii="Times New Roman" w:eastAsia="Times New Roman" w:hAnsi="Times New Roman" w:cs="Times New Roman"/>
          <w:color w:val="333333"/>
          <w:sz w:val="24"/>
          <w:szCs w:val="24"/>
        </w:rPr>
        <w:t>Compute the depreciation expense under the following methods in an Excel spreadsheet. Each of the following should be considered unrelated:</w:t>
      </w:r>
    </w:p>
    <w:p w:rsidR="00DB23E9" w:rsidRPr="00DB23E9" w:rsidRDefault="00DB23E9" w:rsidP="00DB23E9">
      <w:pPr>
        <w:numPr>
          <w:ilvl w:val="1"/>
          <w:numId w:val="1"/>
        </w:numPr>
        <w:spacing w:after="0" w:line="240" w:lineRule="auto"/>
        <w:ind w:right="1440"/>
        <w:rPr>
          <w:rFonts w:ascii="Times New Roman" w:eastAsia="Times New Roman" w:hAnsi="Times New Roman" w:cs="Times New Roman"/>
          <w:color w:val="333333"/>
          <w:sz w:val="24"/>
          <w:szCs w:val="24"/>
        </w:rPr>
      </w:pPr>
      <w:r w:rsidRPr="00DB23E9">
        <w:rPr>
          <w:rFonts w:ascii="Times New Roman" w:eastAsia="Times New Roman" w:hAnsi="Times New Roman" w:cs="Times New Roman"/>
          <w:color w:val="333333"/>
          <w:sz w:val="24"/>
          <w:szCs w:val="24"/>
        </w:rPr>
        <w:t>Straight-line depreciation for 2015</w:t>
      </w:r>
    </w:p>
    <w:p w:rsidR="00DB23E9" w:rsidRPr="00DB23E9" w:rsidRDefault="00DB23E9" w:rsidP="00DB23E9">
      <w:pPr>
        <w:numPr>
          <w:ilvl w:val="1"/>
          <w:numId w:val="1"/>
        </w:numPr>
        <w:spacing w:after="0" w:line="240" w:lineRule="auto"/>
        <w:ind w:right="1440"/>
        <w:rPr>
          <w:rFonts w:ascii="Times New Roman" w:eastAsia="Times New Roman" w:hAnsi="Times New Roman" w:cs="Times New Roman"/>
          <w:color w:val="333333"/>
          <w:sz w:val="24"/>
          <w:szCs w:val="24"/>
        </w:rPr>
      </w:pPr>
      <w:r w:rsidRPr="00DB23E9">
        <w:rPr>
          <w:rFonts w:ascii="Times New Roman" w:eastAsia="Times New Roman" w:hAnsi="Times New Roman" w:cs="Times New Roman"/>
          <w:color w:val="333333"/>
          <w:sz w:val="24"/>
          <w:szCs w:val="24"/>
        </w:rPr>
        <w:t>Units of production method for 2015, assuming that machine usage was 13,000 hours</w:t>
      </w:r>
    </w:p>
    <w:p w:rsidR="00DB23E9" w:rsidRPr="00DB23E9" w:rsidRDefault="00DB23E9" w:rsidP="00DB23E9">
      <w:pPr>
        <w:numPr>
          <w:ilvl w:val="1"/>
          <w:numId w:val="1"/>
        </w:numPr>
        <w:spacing w:after="0" w:line="240" w:lineRule="auto"/>
        <w:ind w:right="1440"/>
        <w:rPr>
          <w:rFonts w:ascii="Times New Roman" w:eastAsia="Times New Roman" w:hAnsi="Times New Roman" w:cs="Times New Roman"/>
          <w:color w:val="333333"/>
          <w:sz w:val="24"/>
          <w:szCs w:val="24"/>
        </w:rPr>
      </w:pPr>
      <w:r w:rsidRPr="00DB23E9">
        <w:rPr>
          <w:rFonts w:ascii="Times New Roman" w:eastAsia="Times New Roman" w:hAnsi="Times New Roman" w:cs="Times New Roman"/>
          <w:color w:val="333333"/>
          <w:sz w:val="24"/>
          <w:szCs w:val="24"/>
        </w:rPr>
        <w:t>Sum-of-the-years’ digits for 2015</w:t>
      </w:r>
    </w:p>
    <w:p w:rsidR="00DB23E9" w:rsidRPr="00DB23E9" w:rsidRDefault="00DB23E9" w:rsidP="00DB23E9">
      <w:pPr>
        <w:numPr>
          <w:ilvl w:val="1"/>
          <w:numId w:val="1"/>
        </w:numPr>
        <w:spacing w:after="0" w:line="240" w:lineRule="auto"/>
        <w:ind w:right="1440"/>
        <w:rPr>
          <w:rFonts w:ascii="Times New Roman" w:eastAsia="Times New Roman" w:hAnsi="Times New Roman" w:cs="Times New Roman"/>
          <w:color w:val="333333"/>
          <w:sz w:val="24"/>
          <w:szCs w:val="24"/>
        </w:rPr>
      </w:pPr>
      <w:r w:rsidRPr="00DB23E9">
        <w:rPr>
          <w:rFonts w:ascii="Times New Roman" w:eastAsia="Times New Roman" w:hAnsi="Times New Roman" w:cs="Times New Roman"/>
          <w:color w:val="333333"/>
          <w:sz w:val="24"/>
          <w:szCs w:val="24"/>
        </w:rPr>
        <w:t>Double-declining balance for 2015</w:t>
      </w:r>
    </w:p>
    <w:p w:rsidR="00DB23E9" w:rsidRPr="00DB23E9" w:rsidRDefault="00DB23E9" w:rsidP="00DB23E9">
      <w:pPr>
        <w:spacing w:after="0" w:line="240" w:lineRule="auto"/>
        <w:ind w:right="1440"/>
        <w:rPr>
          <w:rFonts w:ascii="Times New Roman" w:eastAsia="Times New Roman" w:hAnsi="Times New Roman" w:cs="Times New Roman"/>
          <w:color w:val="333333"/>
          <w:sz w:val="24"/>
          <w:szCs w:val="24"/>
        </w:rPr>
      </w:pPr>
    </w:p>
    <w:p w:rsidR="00DB23E9" w:rsidRPr="00DB23E9" w:rsidRDefault="00DB23E9" w:rsidP="00DB23E9">
      <w:pPr>
        <w:spacing w:after="0" w:line="240" w:lineRule="auto"/>
        <w:ind w:right="1440"/>
        <w:rPr>
          <w:rFonts w:ascii="Times New Roman" w:eastAsia="Times New Roman" w:hAnsi="Times New Roman" w:cs="Times New Roman"/>
          <w:color w:val="333333"/>
          <w:sz w:val="24"/>
          <w:szCs w:val="24"/>
        </w:rPr>
      </w:pPr>
      <w:bookmarkStart w:id="0" w:name="_GoBack"/>
      <w:bookmarkEnd w:id="0"/>
    </w:p>
    <w:p w:rsidR="00DB23E9" w:rsidRPr="00DB23E9" w:rsidRDefault="00DB23E9" w:rsidP="00DB23E9">
      <w:pPr>
        <w:numPr>
          <w:ilvl w:val="0"/>
          <w:numId w:val="1"/>
        </w:numPr>
        <w:spacing w:after="0" w:line="240" w:lineRule="auto"/>
        <w:ind w:right="720"/>
        <w:rPr>
          <w:rFonts w:ascii="Times New Roman" w:eastAsia="Times New Roman" w:hAnsi="Times New Roman" w:cs="Times New Roman"/>
          <w:color w:val="333333"/>
          <w:sz w:val="24"/>
          <w:szCs w:val="24"/>
        </w:rPr>
      </w:pPr>
      <w:r w:rsidRPr="00DB23E9">
        <w:rPr>
          <w:rFonts w:ascii="Times New Roman" w:eastAsia="Times New Roman" w:hAnsi="Times New Roman" w:cs="Times New Roman"/>
          <w:b/>
          <w:bCs/>
          <w:color w:val="333333"/>
          <w:sz w:val="24"/>
          <w:szCs w:val="24"/>
        </w:rPr>
        <w:t>Remaining Life</w:t>
      </w:r>
    </w:p>
    <w:p w:rsidR="00DB23E9" w:rsidRPr="00DB23E9" w:rsidRDefault="00DB23E9" w:rsidP="00DB23E9">
      <w:pPr>
        <w:spacing w:before="240" w:after="240" w:line="240" w:lineRule="auto"/>
        <w:ind w:left="720" w:right="720"/>
        <w:rPr>
          <w:rFonts w:ascii="Times New Roman" w:eastAsia="Times New Roman" w:hAnsi="Times New Roman" w:cs="Times New Roman"/>
          <w:color w:val="333333"/>
          <w:sz w:val="24"/>
          <w:szCs w:val="24"/>
        </w:rPr>
      </w:pPr>
      <w:r w:rsidRPr="00DB23E9">
        <w:rPr>
          <w:rFonts w:ascii="Times New Roman" w:eastAsia="Times New Roman" w:hAnsi="Times New Roman" w:cs="Times New Roman"/>
          <w:color w:val="333333"/>
          <w:sz w:val="24"/>
          <w:szCs w:val="24"/>
        </w:rPr>
        <w:t>Taylor Lewis Company has provided information on intangible assets as follows.</w:t>
      </w:r>
    </w:p>
    <w:p w:rsidR="00DB23E9" w:rsidRPr="00DB23E9" w:rsidRDefault="00DB23E9" w:rsidP="00DB23E9">
      <w:pPr>
        <w:spacing w:before="240" w:after="240" w:line="240" w:lineRule="auto"/>
        <w:ind w:left="720" w:right="720"/>
        <w:rPr>
          <w:rFonts w:ascii="Times New Roman" w:eastAsia="Times New Roman" w:hAnsi="Times New Roman" w:cs="Times New Roman"/>
          <w:color w:val="333333"/>
          <w:sz w:val="24"/>
          <w:szCs w:val="24"/>
        </w:rPr>
      </w:pPr>
      <w:r w:rsidRPr="00DB23E9">
        <w:rPr>
          <w:rFonts w:ascii="Times New Roman" w:eastAsia="Times New Roman" w:hAnsi="Times New Roman" w:cs="Times New Roman"/>
          <w:color w:val="333333"/>
          <w:sz w:val="24"/>
          <w:szCs w:val="24"/>
        </w:rPr>
        <w:t>A patent was purchased from Craig Company for $4,000,000 on June 1, 2015. Lewis estimated the remaining useful life of the patent to be eight years. The patent was carried in Craig’s accounting records at a net book value of $3,500,000 when Craig sold it to Lewis.</w:t>
      </w:r>
    </w:p>
    <w:p w:rsidR="00DB23E9" w:rsidRPr="00DB23E9" w:rsidRDefault="00DB23E9" w:rsidP="00DB23E9">
      <w:pPr>
        <w:spacing w:before="240" w:after="240" w:line="240" w:lineRule="auto"/>
        <w:ind w:left="720" w:right="720"/>
        <w:rPr>
          <w:rFonts w:ascii="Times New Roman" w:eastAsia="Times New Roman" w:hAnsi="Times New Roman" w:cs="Times New Roman"/>
          <w:color w:val="333333"/>
          <w:sz w:val="24"/>
          <w:szCs w:val="24"/>
        </w:rPr>
      </w:pPr>
      <w:r w:rsidRPr="00DB23E9">
        <w:rPr>
          <w:rFonts w:ascii="Times New Roman" w:eastAsia="Times New Roman" w:hAnsi="Times New Roman" w:cs="Times New Roman"/>
          <w:color w:val="333333"/>
          <w:sz w:val="24"/>
          <w:szCs w:val="24"/>
        </w:rPr>
        <w:t>During 2016, a franchise was purchased from Faragher Company for $360,000. In addition, 8% of revenue from the franchise must be paid to Faragher. Revenue from the franchise for 2016 was $1,950,000. Lewis estimates the useful life of the franchise to be 12 years and takes a full year’s amortization in the year of purchase.</w:t>
      </w:r>
    </w:p>
    <w:p w:rsidR="00DB23E9" w:rsidRPr="00DB23E9" w:rsidRDefault="00DB23E9" w:rsidP="00DB23E9">
      <w:pPr>
        <w:spacing w:before="240" w:after="240" w:line="240" w:lineRule="auto"/>
        <w:ind w:left="720" w:right="720"/>
        <w:rPr>
          <w:rFonts w:ascii="Times New Roman" w:eastAsia="Times New Roman" w:hAnsi="Times New Roman" w:cs="Times New Roman"/>
          <w:color w:val="333333"/>
          <w:sz w:val="24"/>
          <w:szCs w:val="24"/>
        </w:rPr>
      </w:pPr>
      <w:r w:rsidRPr="00DB23E9">
        <w:rPr>
          <w:rFonts w:ascii="Times New Roman" w:eastAsia="Times New Roman" w:hAnsi="Times New Roman" w:cs="Times New Roman"/>
          <w:color w:val="333333"/>
          <w:sz w:val="24"/>
          <w:szCs w:val="24"/>
        </w:rPr>
        <w:t>Lewis incurred research and development costs in 2016 as follows:</w:t>
      </w:r>
    </w:p>
    <w:tbl>
      <w:tblPr>
        <w:tblW w:w="540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10"/>
        <w:gridCol w:w="1490"/>
      </w:tblGrid>
      <w:tr w:rsidR="00DB23E9" w:rsidRPr="00DB23E9" w:rsidTr="00D472B8">
        <w:tc>
          <w:tcPr>
            <w:tcW w:w="0" w:type="auto"/>
            <w:tcBorders>
              <w:top w:val="outset" w:sz="6" w:space="0" w:color="auto"/>
              <w:left w:val="outset" w:sz="6" w:space="0" w:color="auto"/>
              <w:bottom w:val="outset" w:sz="6" w:space="0" w:color="auto"/>
              <w:right w:val="outset" w:sz="6" w:space="0" w:color="auto"/>
            </w:tcBorders>
            <w:vAlign w:val="center"/>
            <w:hideMark/>
          </w:tcPr>
          <w:p w:rsidR="00DB23E9" w:rsidRPr="00DB23E9" w:rsidRDefault="00DB23E9" w:rsidP="00D472B8">
            <w:pPr>
              <w:spacing w:after="0" w:line="240" w:lineRule="auto"/>
              <w:rPr>
                <w:rFonts w:ascii="Times New Roman" w:eastAsia="Times New Roman" w:hAnsi="Times New Roman" w:cs="Times New Roman"/>
                <w:sz w:val="24"/>
                <w:szCs w:val="24"/>
              </w:rPr>
            </w:pPr>
            <w:r w:rsidRPr="00DB23E9">
              <w:rPr>
                <w:rFonts w:ascii="Times New Roman" w:eastAsia="Times New Roman" w:hAnsi="Times New Roman" w:cs="Times New Roman"/>
                <w:sz w:val="24"/>
                <w:szCs w:val="24"/>
              </w:rPr>
              <w:t>Materials and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DB23E9" w:rsidRPr="00DB23E9" w:rsidRDefault="00DB23E9" w:rsidP="00D472B8">
            <w:pPr>
              <w:spacing w:after="0" w:line="240" w:lineRule="auto"/>
              <w:jc w:val="right"/>
              <w:rPr>
                <w:rFonts w:ascii="Times New Roman" w:eastAsia="Times New Roman" w:hAnsi="Times New Roman" w:cs="Times New Roman"/>
                <w:sz w:val="24"/>
                <w:szCs w:val="24"/>
              </w:rPr>
            </w:pPr>
            <w:r w:rsidRPr="00DB23E9">
              <w:rPr>
                <w:rFonts w:ascii="Times New Roman" w:eastAsia="Times New Roman" w:hAnsi="Times New Roman" w:cs="Times New Roman"/>
                <w:sz w:val="24"/>
                <w:szCs w:val="24"/>
              </w:rPr>
              <w:t>$286,500</w:t>
            </w:r>
          </w:p>
        </w:tc>
      </w:tr>
      <w:tr w:rsidR="00DB23E9" w:rsidRPr="00DB23E9" w:rsidTr="00D472B8">
        <w:tc>
          <w:tcPr>
            <w:tcW w:w="0" w:type="auto"/>
            <w:tcBorders>
              <w:top w:val="outset" w:sz="6" w:space="0" w:color="auto"/>
              <w:left w:val="outset" w:sz="6" w:space="0" w:color="auto"/>
              <w:bottom w:val="outset" w:sz="6" w:space="0" w:color="auto"/>
              <w:right w:val="outset" w:sz="6" w:space="0" w:color="auto"/>
            </w:tcBorders>
            <w:vAlign w:val="center"/>
            <w:hideMark/>
          </w:tcPr>
          <w:p w:rsidR="00DB23E9" w:rsidRPr="00DB23E9" w:rsidRDefault="00DB23E9" w:rsidP="00D472B8">
            <w:pPr>
              <w:spacing w:after="0" w:line="240" w:lineRule="auto"/>
              <w:rPr>
                <w:rFonts w:ascii="Times New Roman" w:eastAsia="Times New Roman" w:hAnsi="Times New Roman" w:cs="Times New Roman"/>
                <w:sz w:val="24"/>
                <w:szCs w:val="24"/>
              </w:rPr>
            </w:pPr>
            <w:r w:rsidRPr="00DB23E9">
              <w:rPr>
                <w:rFonts w:ascii="Times New Roman" w:eastAsia="Times New Roman" w:hAnsi="Times New Roman" w:cs="Times New Roman"/>
                <w:sz w:val="24"/>
                <w:szCs w:val="24"/>
              </w:rPr>
              <w:t>Personnel</w:t>
            </w:r>
          </w:p>
        </w:tc>
        <w:tc>
          <w:tcPr>
            <w:tcW w:w="0" w:type="auto"/>
            <w:tcBorders>
              <w:top w:val="outset" w:sz="6" w:space="0" w:color="auto"/>
              <w:left w:val="outset" w:sz="6" w:space="0" w:color="auto"/>
              <w:bottom w:val="outset" w:sz="6" w:space="0" w:color="auto"/>
              <w:right w:val="outset" w:sz="6" w:space="0" w:color="auto"/>
            </w:tcBorders>
            <w:vAlign w:val="center"/>
            <w:hideMark/>
          </w:tcPr>
          <w:p w:rsidR="00DB23E9" w:rsidRPr="00DB23E9" w:rsidRDefault="00DB23E9" w:rsidP="00D472B8">
            <w:pPr>
              <w:spacing w:after="0" w:line="240" w:lineRule="auto"/>
              <w:jc w:val="right"/>
              <w:rPr>
                <w:rFonts w:ascii="Times New Roman" w:eastAsia="Times New Roman" w:hAnsi="Times New Roman" w:cs="Times New Roman"/>
                <w:sz w:val="24"/>
                <w:szCs w:val="24"/>
              </w:rPr>
            </w:pPr>
            <w:r w:rsidRPr="00DB23E9">
              <w:rPr>
                <w:rFonts w:ascii="Times New Roman" w:eastAsia="Times New Roman" w:hAnsi="Times New Roman" w:cs="Times New Roman"/>
                <w:sz w:val="24"/>
                <w:szCs w:val="24"/>
              </w:rPr>
              <w:t>$153,700</w:t>
            </w:r>
          </w:p>
        </w:tc>
      </w:tr>
      <w:tr w:rsidR="00DB23E9" w:rsidRPr="00DB23E9" w:rsidTr="00D472B8">
        <w:tc>
          <w:tcPr>
            <w:tcW w:w="0" w:type="auto"/>
            <w:tcBorders>
              <w:top w:val="outset" w:sz="6" w:space="0" w:color="auto"/>
              <w:left w:val="outset" w:sz="6" w:space="0" w:color="auto"/>
              <w:bottom w:val="outset" w:sz="6" w:space="0" w:color="auto"/>
              <w:right w:val="outset" w:sz="6" w:space="0" w:color="auto"/>
            </w:tcBorders>
            <w:vAlign w:val="center"/>
            <w:hideMark/>
          </w:tcPr>
          <w:p w:rsidR="00DB23E9" w:rsidRPr="00DB23E9" w:rsidRDefault="00DB23E9" w:rsidP="00D472B8">
            <w:pPr>
              <w:spacing w:after="0" w:line="240" w:lineRule="auto"/>
              <w:rPr>
                <w:rFonts w:ascii="Times New Roman" w:eastAsia="Times New Roman" w:hAnsi="Times New Roman" w:cs="Times New Roman"/>
                <w:sz w:val="24"/>
                <w:szCs w:val="24"/>
              </w:rPr>
            </w:pPr>
            <w:r w:rsidRPr="00DB23E9">
              <w:rPr>
                <w:rFonts w:ascii="Times New Roman" w:eastAsia="Times New Roman" w:hAnsi="Times New Roman" w:cs="Times New Roman"/>
                <w:sz w:val="24"/>
                <w:szCs w:val="24"/>
              </w:rPr>
              <w:t>Indirect costs</w:t>
            </w:r>
          </w:p>
        </w:tc>
        <w:tc>
          <w:tcPr>
            <w:tcW w:w="0" w:type="auto"/>
            <w:tcBorders>
              <w:top w:val="outset" w:sz="6" w:space="0" w:color="auto"/>
              <w:left w:val="outset" w:sz="6" w:space="0" w:color="auto"/>
              <w:bottom w:val="outset" w:sz="6" w:space="0" w:color="auto"/>
              <w:right w:val="outset" w:sz="6" w:space="0" w:color="auto"/>
            </w:tcBorders>
            <w:vAlign w:val="center"/>
            <w:hideMark/>
          </w:tcPr>
          <w:p w:rsidR="00DB23E9" w:rsidRPr="00DB23E9" w:rsidRDefault="00DB23E9" w:rsidP="00D472B8">
            <w:pPr>
              <w:spacing w:after="0" w:line="240" w:lineRule="auto"/>
              <w:jc w:val="right"/>
              <w:rPr>
                <w:rFonts w:ascii="Times New Roman" w:eastAsia="Times New Roman" w:hAnsi="Times New Roman" w:cs="Times New Roman"/>
                <w:sz w:val="24"/>
                <w:szCs w:val="24"/>
              </w:rPr>
            </w:pPr>
            <w:r w:rsidRPr="00DB23E9">
              <w:rPr>
                <w:rFonts w:ascii="Times New Roman" w:eastAsia="Times New Roman" w:hAnsi="Times New Roman" w:cs="Times New Roman"/>
                <w:sz w:val="24"/>
                <w:szCs w:val="24"/>
              </w:rPr>
              <w:t>  $95,355</w:t>
            </w:r>
          </w:p>
        </w:tc>
      </w:tr>
      <w:tr w:rsidR="00DB23E9" w:rsidRPr="00DB23E9" w:rsidTr="00D472B8">
        <w:tc>
          <w:tcPr>
            <w:tcW w:w="0" w:type="auto"/>
            <w:tcBorders>
              <w:top w:val="outset" w:sz="6" w:space="0" w:color="auto"/>
              <w:left w:val="outset" w:sz="6" w:space="0" w:color="auto"/>
              <w:bottom w:val="outset" w:sz="6" w:space="0" w:color="auto"/>
              <w:right w:val="outset" w:sz="6" w:space="0" w:color="auto"/>
            </w:tcBorders>
            <w:vAlign w:val="center"/>
            <w:hideMark/>
          </w:tcPr>
          <w:p w:rsidR="00DB23E9" w:rsidRPr="00DB23E9" w:rsidRDefault="00DB23E9" w:rsidP="00D472B8">
            <w:pPr>
              <w:spacing w:after="0" w:line="240" w:lineRule="auto"/>
              <w:rPr>
                <w:rFonts w:ascii="Times New Roman" w:eastAsia="Times New Roman" w:hAnsi="Times New Roman" w:cs="Times New Roman"/>
                <w:sz w:val="24"/>
                <w:szCs w:val="24"/>
              </w:rPr>
            </w:pPr>
            <w:r w:rsidRPr="00DB23E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B23E9" w:rsidRPr="00DB23E9" w:rsidRDefault="00DB23E9" w:rsidP="00D472B8">
            <w:pPr>
              <w:spacing w:after="0" w:line="240" w:lineRule="auto"/>
              <w:jc w:val="right"/>
              <w:rPr>
                <w:rFonts w:ascii="Times New Roman" w:eastAsia="Times New Roman" w:hAnsi="Times New Roman" w:cs="Times New Roman"/>
                <w:sz w:val="24"/>
                <w:szCs w:val="24"/>
              </w:rPr>
            </w:pPr>
            <w:r w:rsidRPr="00DB23E9">
              <w:rPr>
                <w:rFonts w:ascii="Times New Roman" w:eastAsia="Times New Roman" w:hAnsi="Times New Roman" w:cs="Times New Roman"/>
                <w:sz w:val="24"/>
                <w:szCs w:val="24"/>
              </w:rPr>
              <w:t>$535,555</w:t>
            </w:r>
          </w:p>
        </w:tc>
      </w:tr>
    </w:tbl>
    <w:p w:rsidR="00DB23E9" w:rsidRPr="00DB23E9" w:rsidRDefault="00DB23E9" w:rsidP="00DB23E9">
      <w:pPr>
        <w:spacing w:before="240" w:after="240" w:line="240" w:lineRule="auto"/>
        <w:ind w:left="720" w:right="720"/>
        <w:rPr>
          <w:rFonts w:ascii="Times New Roman" w:eastAsia="Times New Roman" w:hAnsi="Times New Roman" w:cs="Times New Roman"/>
          <w:color w:val="333333"/>
          <w:sz w:val="24"/>
          <w:szCs w:val="24"/>
        </w:rPr>
      </w:pPr>
      <w:r w:rsidRPr="00DB23E9">
        <w:rPr>
          <w:rFonts w:ascii="Times New Roman" w:eastAsia="Times New Roman" w:hAnsi="Times New Roman" w:cs="Times New Roman"/>
          <w:color w:val="333333"/>
          <w:sz w:val="24"/>
          <w:szCs w:val="24"/>
        </w:rPr>
        <w:t>Lewis estimates that these costs will be recouped by December 31, 2019. The materials and equipment purchased have no alternative uses.</w:t>
      </w:r>
    </w:p>
    <w:p w:rsidR="00DB23E9" w:rsidRPr="00DB23E9" w:rsidRDefault="00DB23E9" w:rsidP="00DB23E9">
      <w:pPr>
        <w:spacing w:before="240" w:after="240" w:line="240" w:lineRule="auto"/>
        <w:ind w:left="720" w:right="720"/>
        <w:rPr>
          <w:rFonts w:ascii="Times New Roman" w:eastAsia="Times New Roman" w:hAnsi="Times New Roman" w:cs="Times New Roman"/>
          <w:color w:val="333333"/>
          <w:sz w:val="24"/>
          <w:szCs w:val="24"/>
        </w:rPr>
      </w:pPr>
      <w:r w:rsidRPr="00DB23E9">
        <w:rPr>
          <w:rFonts w:ascii="Times New Roman" w:eastAsia="Times New Roman" w:hAnsi="Times New Roman" w:cs="Times New Roman"/>
          <w:color w:val="333333"/>
          <w:sz w:val="24"/>
          <w:szCs w:val="24"/>
        </w:rPr>
        <w:t>On January 1, 2016, because of recent events in the field, Lewis estimates that the remaining life of the patent purchased on June 1, 2015, is only five years from January 1, 2016.</w:t>
      </w:r>
    </w:p>
    <w:p w:rsidR="00DB23E9" w:rsidRPr="00DB23E9" w:rsidRDefault="00DB23E9" w:rsidP="00DB23E9">
      <w:pPr>
        <w:numPr>
          <w:ilvl w:val="1"/>
          <w:numId w:val="2"/>
        </w:numPr>
        <w:spacing w:after="0" w:line="240" w:lineRule="auto"/>
        <w:ind w:right="1440"/>
        <w:rPr>
          <w:rFonts w:ascii="Times New Roman" w:eastAsia="Times New Roman" w:hAnsi="Times New Roman" w:cs="Times New Roman"/>
          <w:color w:val="333333"/>
          <w:sz w:val="24"/>
          <w:szCs w:val="24"/>
        </w:rPr>
      </w:pPr>
      <w:r w:rsidRPr="00DB23E9">
        <w:rPr>
          <w:rFonts w:ascii="Times New Roman" w:eastAsia="Times New Roman" w:hAnsi="Times New Roman" w:cs="Times New Roman"/>
          <w:color w:val="333333"/>
          <w:sz w:val="24"/>
          <w:szCs w:val="24"/>
        </w:rPr>
        <w:lastRenderedPageBreak/>
        <w:t>Prepare a schedule showing the intangible section of Lewis’s balance sheet at December 31, 2016. Show supporting computations in good form.</w:t>
      </w:r>
    </w:p>
    <w:p w:rsidR="00DB23E9" w:rsidRPr="00DB23E9" w:rsidRDefault="00DB23E9" w:rsidP="00DB23E9">
      <w:pPr>
        <w:numPr>
          <w:ilvl w:val="1"/>
          <w:numId w:val="2"/>
        </w:numPr>
        <w:spacing w:after="0" w:line="240" w:lineRule="auto"/>
        <w:ind w:right="1440"/>
        <w:rPr>
          <w:rFonts w:ascii="Times New Roman" w:eastAsia="Times New Roman" w:hAnsi="Times New Roman" w:cs="Times New Roman"/>
          <w:color w:val="333333"/>
          <w:sz w:val="24"/>
          <w:szCs w:val="24"/>
        </w:rPr>
      </w:pPr>
      <w:r w:rsidRPr="00DB23E9">
        <w:rPr>
          <w:rFonts w:ascii="Times New Roman" w:eastAsia="Times New Roman" w:hAnsi="Times New Roman" w:cs="Times New Roman"/>
          <w:color w:val="333333"/>
          <w:sz w:val="24"/>
          <w:szCs w:val="24"/>
        </w:rPr>
        <w:t>Prepare a schedule showing the income statement effect for the year ended December 31, 2016, as a result of the facts above. Show supporting computations in good form.</w:t>
      </w:r>
    </w:p>
    <w:p w:rsidR="00DB23E9" w:rsidRPr="00DB23E9" w:rsidRDefault="00DB23E9" w:rsidP="00DB23E9">
      <w:pPr>
        <w:spacing w:before="240" w:after="240" w:line="240" w:lineRule="auto"/>
        <w:rPr>
          <w:rFonts w:ascii="Times New Roman" w:eastAsia="Times New Roman" w:hAnsi="Times New Roman" w:cs="Times New Roman"/>
          <w:color w:val="333333"/>
          <w:sz w:val="24"/>
          <w:szCs w:val="24"/>
        </w:rPr>
      </w:pPr>
      <w:r w:rsidRPr="00DB23E9">
        <w:rPr>
          <w:rFonts w:ascii="Times New Roman" w:eastAsia="Times New Roman" w:hAnsi="Times New Roman" w:cs="Times New Roman"/>
          <w:color w:val="333333"/>
          <w:sz w:val="24"/>
          <w:szCs w:val="24"/>
        </w:rPr>
        <w:t>Your submission must show all calculations used to arrive at the answers.</w:t>
      </w:r>
    </w:p>
    <w:p w:rsidR="00DB23E9" w:rsidRPr="00DB23E9" w:rsidRDefault="00DB23E9" w:rsidP="00DB23E9">
      <w:pPr>
        <w:rPr>
          <w:rFonts w:ascii="Times New Roman" w:hAnsi="Times New Roman" w:cs="Times New Roman"/>
          <w:sz w:val="24"/>
          <w:szCs w:val="24"/>
        </w:rPr>
      </w:pPr>
    </w:p>
    <w:p w:rsidR="00C61351" w:rsidRPr="00DB23E9" w:rsidRDefault="00C61351">
      <w:pPr>
        <w:rPr>
          <w:rFonts w:ascii="Times New Roman" w:hAnsi="Times New Roman" w:cs="Times New Roman"/>
          <w:sz w:val="24"/>
          <w:szCs w:val="24"/>
        </w:rPr>
      </w:pPr>
    </w:p>
    <w:sectPr w:rsidR="00C61351" w:rsidRPr="00DB23E9" w:rsidSect="00492C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22FB4"/>
    <w:multiLevelType w:val="multilevel"/>
    <w:tmpl w:val="9E6413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DB23E9"/>
    <w:rsid w:val="00C61351"/>
    <w:rsid w:val="00DB2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3E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2017-04-18T19:52:00Z</dcterms:created>
  <dcterms:modified xsi:type="dcterms:W3CDTF">2017-04-18T19:52:00Z</dcterms:modified>
</cp:coreProperties>
</file>